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1D2FAEED" w14:textId="77777777" w:rsidR="007B7699" w:rsidRDefault="003E3FA5" w:rsidP="00D8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105496182"/>
      <w:r w:rsidR="0083719F">
        <w:rPr>
          <w:rFonts w:ascii="Times New Roman" w:eastAsia="Times New Roman" w:hAnsi="Times New Roman" w:cs="Times New Roman"/>
          <w:sz w:val="24"/>
          <w:szCs w:val="24"/>
        </w:rPr>
        <w:t>Markel Perkins</w:t>
      </w:r>
      <w:bookmarkEnd w:id="0"/>
    </w:p>
    <w:p w14:paraId="1954CC34" w14:textId="3CD39CB5" w:rsidR="003E3FA5" w:rsidRPr="003E3FA5" w:rsidRDefault="003E3FA5" w:rsidP="007B769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66D3D21" w14:textId="77777777" w:rsidR="007B7699" w:rsidRDefault="003E3FA5" w:rsidP="00F555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D85410"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613C03DE" w:rsidR="003E3FA5" w:rsidRPr="003E3FA5" w:rsidRDefault="003E3FA5" w:rsidP="007B769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4993A5C2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E13D2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5B73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49E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83719F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EC0039E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bookmarkStart w:id="2" w:name="_Hlk105496219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3719F">
        <w:rPr>
          <w:rFonts w:ascii="Times New Roman" w:eastAsia="Times New Roman" w:hAnsi="Times New Roman" w:cs="Times New Roman"/>
          <w:bCs/>
          <w:sz w:val="24"/>
          <w:szCs w:val="24"/>
        </w:rPr>
        <w:t>462</w:t>
      </w:r>
      <w:r w:rsidR="00F555F9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="005B736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bookmarkEnd w:id="2"/>
      <w:r w:rsidR="008D6B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Hearthstone Water, Inc. and Triton Texas Holdings LL for Approval of Change of Ownership Under TWC </w:t>
      </w:r>
      <w:r w:rsidR="008D6B9A" w:rsidRPr="008D6B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§</w:t>
      </w:r>
      <w:r w:rsidR="008D6B9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13.302</w:t>
      </w:r>
    </w:p>
    <w:p w14:paraId="69DB8C2F" w14:textId="77777777" w:rsidR="005B736D" w:rsidRDefault="005B736D" w:rsidP="005B73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D9954" w14:textId="2D7BB13E" w:rsidR="005B736D" w:rsidRDefault="003E3FA5" w:rsidP="00AC0ACB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695153" w:rsidRPr="00482E56">
        <w:rPr>
          <w:rFonts w:ascii="Times New Roman" w:eastAsia="Times New Roman" w:hAnsi="Times New Roman" w:cs="Times New Roman"/>
          <w:sz w:val="24"/>
          <w:szCs w:val="24"/>
        </w:rPr>
        <w:t>February 7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4166" w:rsidRPr="00482E5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2E56">
        <w:rPr>
          <w:rFonts w:ascii="Times New Roman" w:eastAsia="Times New Roman" w:hAnsi="Times New Roman" w:cs="Times New Roman"/>
          <w:sz w:val="24"/>
          <w:szCs w:val="24"/>
        </w:rPr>
        <w:t>,</w:t>
      </w:r>
      <w:r w:rsidR="00624666" w:rsidRPr="00482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Hearthstone Water, Inc.</w:t>
      </w:r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(Hearthstone)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Triton Texas Holdings LLC</w:t>
      </w:r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(Triton)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 xml:space="preserve"> filed an application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 for a change in ownership under Texas Water Code (TWC) § 13.302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and 16 Texas Administrative Code (TAC) § 24.243 of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the controlling interests in </w:t>
      </w:r>
      <w:bookmarkStart w:id="3" w:name="_Hlk128750236"/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Horseshoe Bend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Water Company LLC,</w:t>
      </w:r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(Horseshoe Bend)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 and Lone Star Water Company</w:t>
      </w:r>
      <w:bookmarkEnd w:id="3"/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(Lone Star)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Horseshoe Bend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provides</w:t>
      </w:r>
      <w:r w:rsidR="008D6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water service under certificate of convenience and necessity (CCN) number 10263 in </w:t>
      </w:r>
      <w:r w:rsidR="002A3B8C" w:rsidRPr="008D6B9A">
        <w:rPr>
          <w:rFonts w:ascii="Times New Roman" w:eastAsia="Times New Roman" w:hAnsi="Times New Roman" w:cs="Times New Roman"/>
          <w:sz w:val="24"/>
          <w:szCs w:val="24"/>
        </w:rPr>
        <w:t>Parker</w:t>
      </w:r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3B8C" w:rsidRPr="008D6B9A">
        <w:rPr>
          <w:rFonts w:ascii="Times New Roman" w:eastAsia="Times New Roman" w:hAnsi="Times New Roman" w:cs="Times New Roman"/>
          <w:sz w:val="24"/>
          <w:szCs w:val="24"/>
        </w:rPr>
        <w:t>County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 Lone Star provides water service under CCN number 13279 in </w:t>
      </w:r>
      <w:r w:rsidR="002A3B8C" w:rsidRPr="008D6B9A">
        <w:rPr>
          <w:rFonts w:ascii="Times New Roman" w:eastAsia="Times New Roman" w:hAnsi="Times New Roman" w:cs="Times New Roman"/>
          <w:sz w:val="24"/>
          <w:szCs w:val="24"/>
        </w:rPr>
        <w:t>Denton</w:t>
      </w:r>
      <w:r w:rsidR="002A3B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3B8C" w:rsidRPr="008D6B9A">
        <w:rPr>
          <w:rFonts w:ascii="Times New Roman" w:eastAsia="Times New Roman" w:hAnsi="Times New Roman" w:cs="Times New Roman"/>
          <w:sz w:val="24"/>
          <w:szCs w:val="24"/>
        </w:rPr>
        <w:t>County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B093F">
        <w:rPr>
          <w:rFonts w:ascii="Times New Roman" w:eastAsia="Times New Roman" w:hAnsi="Times New Roman" w:cs="Times New Roman"/>
          <w:sz w:val="24"/>
          <w:szCs w:val="24"/>
        </w:rPr>
        <w:t>Triton is the 100% owner of Horseshoe Bend and Lone Star.</w:t>
      </w:r>
      <w:r w:rsidR="001E1143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="005B093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The applicants seek approval to transfer and assign certain interests in Triton to Hearthstone immediately, followed by a merger of Triton into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its parent Hearthstone.</w:t>
      </w:r>
      <w:r w:rsidR="00285AEF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2"/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66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Hearthstone would then be the surviving entity holding 100%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of the issued and outstanding shares of stock in Horseshoe Bend and Lone Star</w:t>
      </w:r>
      <w:r w:rsidR="00AC0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B9A" w:rsidRPr="008D6B9A">
        <w:rPr>
          <w:rFonts w:ascii="Times New Roman" w:eastAsia="Times New Roman" w:hAnsi="Times New Roman" w:cs="Times New Roman"/>
          <w:sz w:val="24"/>
          <w:szCs w:val="24"/>
        </w:rPr>
        <w:t>Water</w:t>
      </w:r>
      <w:r w:rsidR="005B736D" w:rsidRPr="00482E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BC3ADD" w14:textId="31C431BB" w:rsidR="0040155D" w:rsidRDefault="0040155D" w:rsidP="0040155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person acquiring a controlling interest in a utility is required to demonstrate adequate financial, managerial, and technical capability for providing continuous and adequate service to the requested area and to the person’s certificated service area, if any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pursuant to 16 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TAC 24.243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A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s established by 16 TAC § 24.11</w:t>
      </w:r>
      <w:r w:rsidRPr="0040155D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n owner or operator of a retail public utility must demonstrate that it meets one of the five leverage tests under 16 TAC § 24.11(e)(2) as well as the operations test under 16 TAC § 24.11(e)(3)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demonstrate that an owner or operator of a retail public utility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lastRenderedPageBreak/>
        <w:t>has the financial resources to operate and manage the utility and to provide continuous and adequate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155D">
        <w:rPr>
          <w:rFonts w:ascii="Times New Roman" w:eastAsia="Times New Roman" w:hAnsi="Times New Roman" w:cs="Times New Roman"/>
          <w:sz w:val="24"/>
          <w:szCs w:val="24"/>
        </w:rPr>
        <w:t>service to the current and proposed utility service area.</w:t>
      </w:r>
    </w:p>
    <w:p w14:paraId="6A4523B5" w14:textId="76D2EE09" w:rsidR="006D4073" w:rsidRPr="006D4073" w:rsidRDefault="006D4073" w:rsidP="006D4073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246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Leverage Test</w:t>
      </w:r>
    </w:p>
    <w:p w14:paraId="0281A915" w14:textId="76CF9AE6" w:rsidR="006D4073" w:rsidRPr="007C0B64" w:rsidRDefault="006D4073" w:rsidP="00C81F03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798A">
        <w:rPr>
          <w:rFonts w:ascii="Times New Roman" w:eastAsia="Times New Roman" w:hAnsi="Times New Roman" w:cs="Times New Roman"/>
          <w:sz w:val="24"/>
          <w:szCs w:val="24"/>
        </w:rPr>
        <w:t>My analysis is based 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4" w:name="_Hlk129254746"/>
      <w:r>
        <w:rPr>
          <w:rFonts w:ascii="Times New Roman" w:eastAsia="Times New Roman" w:hAnsi="Times New Roman" w:cs="Times New Roman"/>
          <w:sz w:val="24"/>
          <w:szCs w:val="24"/>
        </w:rPr>
        <w:t>Hearthstone’s, Horseshoe Bend’s</w:t>
      </w:r>
      <w:r w:rsidR="005B093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Lone Star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’s</w:t>
      </w:r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 financial statements</w:t>
      </w:r>
      <w:bookmarkEnd w:id="4"/>
      <w:r w:rsidRPr="000A798A">
        <w:rPr>
          <w:rFonts w:ascii="Times New Roman" w:eastAsia="Times New Roman" w:hAnsi="Times New Roman" w:cs="Times New Roman"/>
          <w:sz w:val="24"/>
          <w:szCs w:val="24"/>
        </w:rPr>
        <w:t xml:space="preserve"> ending December 31, 202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 xml:space="preserve"> which demonstrate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 xml:space="preserve"> each utility has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>debt-to-equity ratio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 xml:space="preserve"> of less than one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as 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calculated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confidential Attachment FB-1.  Because the ratio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less than one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 xml:space="preserve">, I recommend a finding that </w:t>
      </w:r>
      <w:r w:rsidR="00C81F03">
        <w:rPr>
          <w:rFonts w:ascii="Times New Roman" w:eastAsia="Times New Roman" w:hAnsi="Times New Roman" w:cs="Times New Roman"/>
          <w:sz w:val="24"/>
          <w:szCs w:val="24"/>
        </w:rPr>
        <w:t>Hearthstone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 xml:space="preserve"> meets the leverage test specified in 16 TAC § 24.11(e)(2)(A).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0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402D52" w14:textId="77777777" w:rsidR="006D4073" w:rsidRPr="00535CEF" w:rsidRDefault="006D4073" w:rsidP="006D4073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5C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Operations Test</w:t>
      </w:r>
    </w:p>
    <w:p w14:paraId="10178074" w14:textId="47172066" w:rsidR="006D4073" w:rsidRPr="00535CEF" w:rsidRDefault="006D4073" w:rsidP="006D40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CEF">
        <w:rPr>
          <w:rFonts w:ascii="Times New Roman" w:eastAsia="Times New Roman" w:hAnsi="Times New Roman" w:cs="Times New Roman"/>
          <w:sz w:val="24"/>
          <w:szCs w:val="24"/>
        </w:rPr>
        <w:tab/>
      </w:r>
      <w:r w:rsidR="00C81F03" w:rsidRPr="00C81F03">
        <w:rPr>
          <w:rFonts w:ascii="Times New Roman" w:eastAsia="Times New Roman" w:hAnsi="Times New Roman" w:cs="Times New Roman"/>
          <w:sz w:val="24"/>
          <w:szCs w:val="24"/>
        </w:rPr>
        <w:t>An owner or operator must demonstrate sufficient available cash to cover projected cash shortages for operations and maintenance expense during the first five years of operations, as required by 16 TAC § 24.11(e)(3).</w:t>
      </w:r>
    </w:p>
    <w:p w14:paraId="70A7AE91" w14:textId="3056DF47" w:rsidR="006D4073" w:rsidRPr="00535CEF" w:rsidRDefault="006D4073" w:rsidP="006D40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CEF">
        <w:rPr>
          <w:rFonts w:ascii="Times New Roman" w:eastAsia="Times New Roman" w:hAnsi="Times New Roman" w:cs="Times New Roman"/>
          <w:sz w:val="24"/>
          <w:szCs w:val="24"/>
        </w:rPr>
        <w:tab/>
      </w:r>
      <w:r w:rsidR="005809AC" w:rsidRPr="005809AC">
        <w:rPr>
          <w:rFonts w:ascii="Times New Roman" w:eastAsia="Times New Roman" w:hAnsi="Times New Roman" w:cs="Times New Roman"/>
          <w:sz w:val="24"/>
          <w:szCs w:val="24"/>
        </w:rPr>
        <w:t xml:space="preserve">Hearthstone’s, Horseshoe </w:t>
      </w:r>
      <w:r w:rsidR="00E80B9B" w:rsidRPr="005809AC">
        <w:rPr>
          <w:rFonts w:ascii="Times New Roman" w:eastAsia="Times New Roman" w:hAnsi="Times New Roman" w:cs="Times New Roman"/>
          <w:sz w:val="24"/>
          <w:szCs w:val="24"/>
        </w:rPr>
        <w:t>Bend’s,</w:t>
      </w:r>
      <w:r w:rsidR="005809AC" w:rsidRPr="005809AC">
        <w:rPr>
          <w:rFonts w:ascii="Times New Roman" w:eastAsia="Times New Roman" w:hAnsi="Times New Roman" w:cs="Times New Roman"/>
          <w:sz w:val="24"/>
          <w:szCs w:val="24"/>
        </w:rPr>
        <w:t xml:space="preserve"> and Lone Star’s financial statements </w:t>
      </w:r>
      <w:r w:rsidR="005809AC">
        <w:rPr>
          <w:rFonts w:ascii="Times New Roman" w:eastAsia="Times New Roman" w:hAnsi="Times New Roman" w:cs="Times New Roman"/>
          <w:sz w:val="24"/>
          <w:szCs w:val="24"/>
        </w:rPr>
        <w:t xml:space="preserve">provided in confidential attachment FB-1 </w:t>
      </w:r>
      <w:r w:rsidR="005809AC" w:rsidRPr="005809AC">
        <w:rPr>
          <w:rFonts w:ascii="Times New Roman" w:eastAsia="Times New Roman" w:hAnsi="Times New Roman" w:cs="Times New Roman"/>
          <w:sz w:val="24"/>
          <w:szCs w:val="24"/>
        </w:rPr>
        <w:t>include operating income and cash flow information</w:t>
      </w:r>
      <w:r w:rsidR="00436186">
        <w:rPr>
          <w:rFonts w:ascii="Times New Roman" w:eastAsia="Times New Roman" w:hAnsi="Times New Roman" w:cs="Times New Roman"/>
          <w:sz w:val="24"/>
          <w:szCs w:val="24"/>
        </w:rPr>
        <w:t xml:space="preserve"> that indicate</w:t>
      </w:r>
      <w:r w:rsidR="005809AC" w:rsidRPr="0058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9AC">
        <w:rPr>
          <w:rFonts w:ascii="Times New Roman" w:eastAsia="Times New Roman" w:hAnsi="Times New Roman" w:cs="Times New Roman"/>
          <w:sz w:val="24"/>
          <w:szCs w:val="24"/>
        </w:rPr>
        <w:t>Hearthstone</w:t>
      </w:r>
      <w:r w:rsidR="005809AC" w:rsidRPr="005809AC">
        <w:rPr>
          <w:rFonts w:ascii="Times New Roman" w:eastAsia="Times New Roman" w:hAnsi="Times New Roman" w:cs="Times New Roman"/>
          <w:sz w:val="24"/>
          <w:szCs w:val="24"/>
        </w:rPr>
        <w:t xml:space="preserve"> will have sufficient cash to cover projected shortages.</w:t>
      </w:r>
      <w:r w:rsidR="005809A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35CEF">
        <w:rPr>
          <w:rFonts w:ascii="Times New Roman" w:eastAsia="Times New Roman" w:hAnsi="Times New Roman" w:cs="Times New Roman"/>
          <w:sz w:val="24"/>
          <w:szCs w:val="24"/>
        </w:rPr>
        <w:t>Therefore, I recommend a</w:t>
      </w:r>
      <w:r w:rsidR="005809AC">
        <w:rPr>
          <w:rFonts w:ascii="Times New Roman" w:eastAsia="Times New Roman" w:hAnsi="Times New Roman" w:cs="Times New Roman"/>
          <w:sz w:val="24"/>
          <w:szCs w:val="24"/>
        </w:rPr>
        <w:t xml:space="preserve"> finding that Hearthstone</w:t>
      </w:r>
      <w:r w:rsidRPr="00535CEF">
        <w:rPr>
          <w:rFonts w:ascii="Times New Roman" w:eastAsia="Times New Roman" w:hAnsi="Times New Roman" w:cs="Times New Roman"/>
          <w:sz w:val="24"/>
          <w:szCs w:val="24"/>
        </w:rPr>
        <w:t xml:space="preserve"> meets the operations test specified in 16 TAC § 24.11(e)(3).</w:t>
      </w:r>
    </w:p>
    <w:p w14:paraId="088F5E2B" w14:textId="77777777" w:rsidR="003100FB" w:rsidRPr="001C59A0" w:rsidRDefault="003100FB" w:rsidP="003100F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C59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Recommendation</w:t>
      </w:r>
    </w:p>
    <w:p w14:paraId="7F1C5FC6" w14:textId="1419E596" w:rsidR="003100FB" w:rsidRPr="004037C0" w:rsidRDefault="003100FB" w:rsidP="003100FB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Because </w:t>
      </w:r>
      <w:r>
        <w:rPr>
          <w:rFonts w:ascii="Times New Roman" w:eastAsia="Times New Roman" w:hAnsi="Times New Roman" w:cs="Times New Roman"/>
          <w:sz w:val="24"/>
          <w:szCs w:val="24"/>
        </w:rPr>
        <w:t>Hearthstone</w:t>
      </w:r>
      <w:r w:rsidRPr="004037C0">
        <w:rPr>
          <w:rFonts w:ascii="Times New Roman" w:eastAsia="Times New Roman" w:hAnsi="Times New Roman" w:cs="Times New Roman"/>
          <w:sz w:val="24"/>
          <w:szCs w:val="24"/>
        </w:rPr>
        <w:t xml:space="preserve"> meets the financial tests, I do not recommend that the Commission require additional financial assurance. </w:t>
      </w:r>
    </w:p>
    <w:p w14:paraId="7E932C0E" w14:textId="6E949084" w:rsidR="003100FB" w:rsidRPr="00372923" w:rsidRDefault="003100FB" w:rsidP="005A41D3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7C0">
        <w:rPr>
          <w:rFonts w:ascii="Times New Roman" w:hAnsi="Times New Roman" w:cs="Times New Roman"/>
          <w:sz w:val="24"/>
          <w:szCs w:val="24"/>
        </w:rPr>
        <w:t xml:space="preserve">Consequently, I recommend a finding that </w:t>
      </w:r>
      <w:r>
        <w:rPr>
          <w:rFonts w:ascii="Times New Roman" w:hAnsi="Times New Roman" w:cs="Times New Roman"/>
          <w:sz w:val="24"/>
          <w:szCs w:val="24"/>
        </w:rPr>
        <w:t>Hearthstone</w:t>
      </w:r>
      <w:r w:rsidRPr="004037C0">
        <w:rPr>
          <w:rFonts w:ascii="Times New Roman" w:hAnsi="Times New Roman" w:cs="Times New Roman"/>
          <w:sz w:val="24"/>
          <w:szCs w:val="24"/>
        </w:rPr>
        <w:t xml:space="preserve"> demonstrates the financial and managerial capability needed to provide </w:t>
      </w:r>
      <w:r w:rsidRPr="00372923">
        <w:rPr>
          <w:rFonts w:ascii="Times New Roman" w:hAnsi="Times New Roman" w:cs="Times New Roman"/>
          <w:sz w:val="24"/>
          <w:szCs w:val="24"/>
        </w:rPr>
        <w:t>adequate service to the area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372923">
        <w:rPr>
          <w:rFonts w:ascii="Times New Roman" w:hAnsi="Times New Roman" w:cs="Times New Roman"/>
          <w:sz w:val="24"/>
          <w:szCs w:val="24"/>
        </w:rPr>
        <w:t xml:space="preserve"> subject to this application</w:t>
      </w:r>
      <w:r w:rsidR="005A41D3">
        <w:rPr>
          <w:rFonts w:ascii="Times New Roman" w:hAnsi="Times New Roman" w:cs="Times New Roman"/>
          <w:sz w:val="24"/>
          <w:szCs w:val="24"/>
        </w:rPr>
        <w:t xml:space="preserve"> as well as</w:t>
      </w:r>
      <w:r w:rsidR="005A41D3" w:rsidRPr="005A41D3">
        <w:rPr>
          <w:rFonts w:ascii="Times New Roman" w:hAnsi="Times New Roman" w:cs="Times New Roman"/>
          <w:sz w:val="24"/>
          <w:szCs w:val="24"/>
        </w:rPr>
        <w:t xml:space="preserve"> that the Commission find that the change of ownership requested in this application</w:t>
      </w:r>
      <w:r w:rsidR="005A41D3">
        <w:rPr>
          <w:rFonts w:ascii="Times New Roman" w:hAnsi="Times New Roman" w:cs="Times New Roman"/>
          <w:sz w:val="24"/>
          <w:szCs w:val="24"/>
        </w:rPr>
        <w:t xml:space="preserve"> </w:t>
      </w:r>
      <w:r w:rsidR="005A41D3" w:rsidRPr="005A41D3">
        <w:rPr>
          <w:rFonts w:ascii="Times New Roman" w:hAnsi="Times New Roman" w:cs="Times New Roman"/>
          <w:sz w:val="24"/>
          <w:szCs w:val="24"/>
        </w:rPr>
        <w:t xml:space="preserve">is in the public interest and that the Commission approve the transaction. </w:t>
      </w:r>
      <w:r w:rsidR="005A41D3" w:rsidRPr="005A41D3">
        <w:rPr>
          <w:rFonts w:ascii="Times New Roman" w:hAnsi="Times New Roman" w:cs="Times New Roman"/>
          <w:sz w:val="24"/>
          <w:szCs w:val="24"/>
        </w:rPr>
        <w:cr/>
      </w:r>
      <w:r w:rsidR="005A41D3">
        <w:rPr>
          <w:rFonts w:ascii="Times New Roman" w:hAnsi="Times New Roman" w:cs="Times New Roman"/>
          <w:sz w:val="24"/>
          <w:szCs w:val="24"/>
        </w:rPr>
        <w:t xml:space="preserve"> </w:t>
      </w:r>
      <w:r w:rsidRPr="00372923">
        <w:rPr>
          <w:rFonts w:ascii="Times New Roman" w:hAnsi="Times New Roman" w:cs="Times New Roman"/>
          <w:sz w:val="24"/>
          <w:szCs w:val="24"/>
        </w:rPr>
        <w:t xml:space="preserve">  My conclusions are based on information provided by </w:t>
      </w:r>
      <w:r>
        <w:rPr>
          <w:rFonts w:ascii="Times New Roman" w:hAnsi="Times New Roman" w:cs="Times New Roman"/>
          <w:sz w:val="24"/>
          <w:szCs w:val="24"/>
        </w:rPr>
        <w:t>Hearthstone</w:t>
      </w:r>
      <w:r w:rsidRPr="00372923">
        <w:rPr>
          <w:rFonts w:ascii="Times New Roman" w:hAnsi="Times New Roman" w:cs="Times New Roman"/>
          <w:sz w:val="24"/>
          <w:szCs w:val="24"/>
        </w:rPr>
        <w:t xml:space="preserve"> before the date of this memorandum and may not reflect any changes in </w:t>
      </w:r>
      <w:r>
        <w:rPr>
          <w:rFonts w:ascii="Times New Roman" w:hAnsi="Times New Roman" w:cs="Times New Roman"/>
          <w:sz w:val="24"/>
          <w:szCs w:val="24"/>
        </w:rPr>
        <w:t>Hearthstone</w:t>
      </w:r>
      <w:r w:rsidRPr="00372923">
        <w:rPr>
          <w:rFonts w:ascii="Times New Roman" w:hAnsi="Times New Roman" w:cs="Times New Roman"/>
          <w:sz w:val="24"/>
          <w:szCs w:val="24"/>
        </w:rPr>
        <w:t xml:space="preserve">’s status after this review. </w:t>
      </w:r>
    </w:p>
    <w:p w14:paraId="4EB4B05E" w14:textId="77777777" w:rsidR="006D4073" w:rsidRDefault="006D4073" w:rsidP="0040155D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46D92D" w14:textId="77777777" w:rsidR="007B7699" w:rsidRPr="009C782F" w:rsidRDefault="007B7699" w:rsidP="007B7699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B7699" w:rsidRPr="009C782F" w:rsidSect="00DC0A57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093E" w14:textId="77777777" w:rsidR="00560ED5" w:rsidRDefault="00560ED5" w:rsidP="003E3FA5">
      <w:pPr>
        <w:spacing w:after="0" w:line="240" w:lineRule="auto"/>
      </w:pPr>
      <w:r>
        <w:separator/>
      </w:r>
    </w:p>
  </w:endnote>
  <w:endnote w:type="continuationSeparator" w:id="0">
    <w:p w14:paraId="18B1797D" w14:textId="77777777" w:rsidR="00560ED5" w:rsidRDefault="00560ED5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560E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560ED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339A3" w14:textId="77777777" w:rsidR="00560ED5" w:rsidRDefault="00560ED5" w:rsidP="003E3FA5">
      <w:pPr>
        <w:spacing w:after="0" w:line="240" w:lineRule="auto"/>
      </w:pPr>
      <w:r>
        <w:separator/>
      </w:r>
    </w:p>
  </w:footnote>
  <w:footnote w:type="continuationSeparator" w:id="0">
    <w:p w14:paraId="0A8B5482" w14:textId="77777777" w:rsidR="00560ED5" w:rsidRDefault="00560ED5" w:rsidP="003E3FA5">
      <w:pPr>
        <w:spacing w:after="0" w:line="240" w:lineRule="auto"/>
      </w:pPr>
      <w:r>
        <w:continuationSeparator/>
      </w:r>
    </w:p>
  </w:footnote>
  <w:footnote w:id="1">
    <w:p w14:paraId="6FDBEB4D" w14:textId="1C646DAD" w:rsidR="001E1143" w:rsidRDefault="001E1143" w:rsidP="001E114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Hearthstone Water, Inc.’s Supplemental Application Information at pdf 5 (Mar. 6, 2023).</w:t>
      </w:r>
    </w:p>
  </w:footnote>
  <w:footnote w:id="2">
    <w:p w14:paraId="5D91A5FF" w14:textId="6D2E8A47" w:rsidR="00285AEF" w:rsidRDefault="00285AEF" w:rsidP="00285AE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956634">
        <w:t>Confidential Attachments for TWC 13.302 Application at pdf 1 thru 97 (Feb. 7, 2023).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3F617AC5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</w:t>
    </w:r>
    <w:r w:rsidR="008D6B9A">
      <w:rPr>
        <w:b/>
      </w:rPr>
      <w:t>4629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26E75"/>
    <w:multiLevelType w:val="hybridMultilevel"/>
    <w:tmpl w:val="BC5A4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082A"/>
    <w:rsid w:val="00016AD9"/>
    <w:rsid w:val="000F118E"/>
    <w:rsid w:val="0013261C"/>
    <w:rsid w:val="00147CE5"/>
    <w:rsid w:val="001C7C08"/>
    <w:rsid w:val="001E1143"/>
    <w:rsid w:val="001E1574"/>
    <w:rsid w:val="002149AE"/>
    <w:rsid w:val="00256BA8"/>
    <w:rsid w:val="00284379"/>
    <w:rsid w:val="00285AEF"/>
    <w:rsid w:val="002A3B8C"/>
    <w:rsid w:val="003100FB"/>
    <w:rsid w:val="00363697"/>
    <w:rsid w:val="003C1F2C"/>
    <w:rsid w:val="003C434B"/>
    <w:rsid w:val="003E3FA5"/>
    <w:rsid w:val="0040155D"/>
    <w:rsid w:val="00436186"/>
    <w:rsid w:val="00482E56"/>
    <w:rsid w:val="00537446"/>
    <w:rsid w:val="005449EB"/>
    <w:rsid w:val="00554571"/>
    <w:rsid w:val="00560ED5"/>
    <w:rsid w:val="005809AC"/>
    <w:rsid w:val="005859B4"/>
    <w:rsid w:val="00586A9F"/>
    <w:rsid w:val="005A41D3"/>
    <w:rsid w:val="005B093F"/>
    <w:rsid w:val="005B736D"/>
    <w:rsid w:val="005C50C8"/>
    <w:rsid w:val="005E707D"/>
    <w:rsid w:val="00624666"/>
    <w:rsid w:val="00635BC4"/>
    <w:rsid w:val="00645905"/>
    <w:rsid w:val="00671935"/>
    <w:rsid w:val="0069190D"/>
    <w:rsid w:val="00695153"/>
    <w:rsid w:val="006D4073"/>
    <w:rsid w:val="006F5466"/>
    <w:rsid w:val="007700A2"/>
    <w:rsid w:val="00787DE1"/>
    <w:rsid w:val="007B7699"/>
    <w:rsid w:val="007D0A6F"/>
    <w:rsid w:val="007E2305"/>
    <w:rsid w:val="0083719F"/>
    <w:rsid w:val="00860414"/>
    <w:rsid w:val="00891293"/>
    <w:rsid w:val="008D6B9A"/>
    <w:rsid w:val="00926DE3"/>
    <w:rsid w:val="00956634"/>
    <w:rsid w:val="009A4CBB"/>
    <w:rsid w:val="009C782F"/>
    <w:rsid w:val="009E13D2"/>
    <w:rsid w:val="00A512B4"/>
    <w:rsid w:val="00A74B99"/>
    <w:rsid w:val="00AC0ACB"/>
    <w:rsid w:val="00AE4987"/>
    <w:rsid w:val="00B52332"/>
    <w:rsid w:val="00C0242A"/>
    <w:rsid w:val="00C46B3E"/>
    <w:rsid w:val="00C74679"/>
    <w:rsid w:val="00C81F03"/>
    <w:rsid w:val="00C94166"/>
    <w:rsid w:val="00CC68C3"/>
    <w:rsid w:val="00D32934"/>
    <w:rsid w:val="00D52DC0"/>
    <w:rsid w:val="00D73FFD"/>
    <w:rsid w:val="00D85410"/>
    <w:rsid w:val="00D9105A"/>
    <w:rsid w:val="00E03BEA"/>
    <w:rsid w:val="00E80B9B"/>
    <w:rsid w:val="00ED2896"/>
    <w:rsid w:val="00EF2CA2"/>
    <w:rsid w:val="00F049BB"/>
    <w:rsid w:val="00F21E89"/>
    <w:rsid w:val="00F33D57"/>
    <w:rsid w:val="00F555F9"/>
    <w:rsid w:val="00F65A84"/>
    <w:rsid w:val="00F81C5D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9C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4AD0-FA21-46BB-96AF-954120D1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2</cp:revision>
  <dcterms:created xsi:type="dcterms:W3CDTF">2023-04-04T12:27:00Z</dcterms:created>
  <dcterms:modified xsi:type="dcterms:W3CDTF">2023-04-04T12:27:00Z</dcterms:modified>
</cp:coreProperties>
</file>